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2535FA" w14:textId="77777777" w:rsidR="00AB6695" w:rsidRDefault="00AB6695">
      <w:pPr>
        <w:pStyle w:val="1"/>
      </w:pPr>
      <w:r>
        <w:fldChar w:fldCharType="begin"/>
      </w:r>
      <w:r>
        <w:instrText>HYPERLINK "http://ivo.garant.ru/document/redirect/72139582/0"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труда и социальной защиты РФ от 1 ноября 2018 г. N 686н "Об утверждении Порядка актуализации классификации технических средств (изделий) в рамках федерального перечня реабилитационных мероприятий, технических средств реабилитации и услуг, предоставляемых инвалиду"</w:t>
      </w:r>
      <w:r>
        <w:fldChar w:fldCharType="end"/>
      </w:r>
    </w:p>
    <w:p w14:paraId="2D9472DE" w14:textId="77777777" w:rsidR="00AB6695" w:rsidRDefault="00AB6695">
      <w:pPr>
        <w:pStyle w:val="1"/>
      </w:pPr>
      <w:r>
        <w:t>Приказ Министерства труда и социальной защиты РФ от 1 ноября 2018 г. N 686н</w:t>
      </w:r>
      <w:r>
        <w:br/>
        <w:t>"Об утверждении Порядка актуализации классификации технических средств (изделий) в рамках федерального перечня реабилитационных мероприятий, технических средств реабилитации и услуг, предоставляемых инвалиду"</w:t>
      </w:r>
    </w:p>
    <w:p w14:paraId="33076738" w14:textId="77777777" w:rsidR="00AB6695" w:rsidRDefault="00AB6695"/>
    <w:p w14:paraId="3E0FAE81" w14:textId="77777777" w:rsidR="00AB6695" w:rsidRDefault="00AB6695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пунктом 15.1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7 апреля 2008 г. N 240 (Собрание законодательства Российской Федерации, 2008, N 15, ст. 1550; 2011, N 16, ст. 2294; 2012, N 17, ст. 1992; N 37, ст. 5002; 2013, N 13, ст. 1559; N 22, ст. 2809; N 40, ст. 5076; 2014, N 44, ст. 6070; 2016, N 12, ст. 1656; 2017, N 49, ст. 7451; 2018, N 6, ст. 899), приказываю:</w:t>
      </w:r>
    </w:p>
    <w:p w14:paraId="7AA65890" w14:textId="77777777" w:rsidR="00AB6695" w:rsidRDefault="00AB6695">
      <w:bookmarkStart w:id="1" w:name="sub_1"/>
      <w:r>
        <w:t xml:space="preserve">Утвердить по согласованию с Министерством финансов Российской Федерации Порядок актуализации классификации технических средств (изделий) в рамках федерального перечня реабилитационных мероприятий, технических средств реабилитации и услуг, предоставляемых инвалиду, согласно </w:t>
      </w:r>
      <w:hyperlink w:anchor="sub_1000" w:history="1">
        <w:r>
          <w:rPr>
            <w:rStyle w:val="a4"/>
            <w:rFonts w:cs="Times New Roman CYR"/>
          </w:rPr>
          <w:t>приложению</w:t>
        </w:r>
      </w:hyperlink>
      <w:r>
        <w:t>.</w:t>
      </w:r>
    </w:p>
    <w:bookmarkEnd w:id="1"/>
    <w:p w14:paraId="5AA07403" w14:textId="77777777" w:rsidR="00AB6695" w:rsidRDefault="00AB669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AB6695" w14:paraId="5368A7DF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88F7FEA" w14:textId="77777777" w:rsidR="00AB6695" w:rsidRDefault="00AB6695">
            <w:pPr>
              <w:pStyle w:val="a6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42B1245" w14:textId="77777777" w:rsidR="00AB6695" w:rsidRDefault="00AB6695">
            <w:pPr>
              <w:pStyle w:val="a5"/>
              <w:jc w:val="right"/>
            </w:pPr>
            <w:r>
              <w:t>М.А. Топилин</w:t>
            </w:r>
          </w:p>
        </w:tc>
      </w:tr>
    </w:tbl>
    <w:p w14:paraId="70FD08CD" w14:textId="77777777" w:rsidR="00AB6695" w:rsidRDefault="00AB6695"/>
    <w:p w14:paraId="364784CD" w14:textId="77777777" w:rsidR="00AB6695" w:rsidRDefault="00AB6695">
      <w:pPr>
        <w:pStyle w:val="a6"/>
      </w:pPr>
      <w:r>
        <w:t>Зарегистрировано в Минюсте РФ 25 декабря 2018 г.</w:t>
      </w:r>
      <w:r>
        <w:br/>
        <w:t>Регистрационный N 53170</w:t>
      </w:r>
    </w:p>
    <w:p w14:paraId="70BE8EB3" w14:textId="77777777" w:rsidR="00AB6695" w:rsidRDefault="00AB6695"/>
    <w:p w14:paraId="59756E40" w14:textId="77777777" w:rsidR="00AB6695" w:rsidRDefault="00AB6695">
      <w:pPr>
        <w:ind w:firstLine="0"/>
        <w:jc w:val="right"/>
      </w:pPr>
      <w:bookmarkStart w:id="2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 труда и</w:t>
      </w:r>
      <w:r>
        <w:rPr>
          <w:rStyle w:val="a3"/>
          <w:bCs/>
        </w:rPr>
        <w:br/>
        <w:t>социальной защиты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 ноября 2018 г. N 686н</w:t>
      </w:r>
    </w:p>
    <w:bookmarkEnd w:id="2"/>
    <w:p w14:paraId="09136598" w14:textId="77777777" w:rsidR="00AB6695" w:rsidRDefault="00AB6695"/>
    <w:p w14:paraId="482D319D" w14:textId="77777777" w:rsidR="00AB6695" w:rsidRDefault="00AB6695">
      <w:pPr>
        <w:pStyle w:val="1"/>
      </w:pPr>
      <w:r>
        <w:t>Порядок</w:t>
      </w:r>
      <w:r>
        <w:br/>
        <w:t>актуализации классификации технических средств (изделий) в рамках федерального перечня реабилитационных мероприятий, технических средств реабилитации и услуг, предоставляемых инвалиду</w:t>
      </w:r>
    </w:p>
    <w:p w14:paraId="08D5331F" w14:textId="77777777" w:rsidR="00AB6695" w:rsidRDefault="00AB6695"/>
    <w:p w14:paraId="7616F2FE" w14:textId="77777777" w:rsidR="00AB6695" w:rsidRDefault="00AB6695">
      <w:bookmarkStart w:id="3" w:name="sub_1001"/>
      <w:r>
        <w:t xml:space="preserve">1. Настоящий Порядок устанавливает правила актуализации </w:t>
      </w:r>
      <w:hyperlink r:id="rId9" w:history="1">
        <w:r>
          <w:rPr>
            <w:rStyle w:val="a4"/>
            <w:rFonts w:cs="Times New Roman CYR"/>
          </w:rPr>
          <w:t>классификации</w:t>
        </w:r>
      </w:hyperlink>
      <w:r>
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 N 2347-р, утвержденной </w:t>
      </w:r>
      <w:hyperlink r:id="rId10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13 февраля 2018 г. N 86н (зарегистрирован Министерством юстиции Российской Федерации 14 марта 2018 г., регистрационный N 50338) (далее - Классификация).</w:t>
      </w:r>
    </w:p>
    <w:p w14:paraId="6974E618" w14:textId="77777777" w:rsidR="00AB6695" w:rsidRDefault="00AB6695">
      <w:bookmarkStart w:id="4" w:name="sub_1002"/>
      <w:bookmarkEnd w:id="3"/>
      <w:r>
        <w:t xml:space="preserve">2. Актуализация </w:t>
      </w:r>
      <w:hyperlink r:id="rId11" w:history="1">
        <w:r>
          <w:rPr>
            <w:rStyle w:val="a4"/>
            <w:rFonts w:cs="Times New Roman CYR"/>
          </w:rPr>
          <w:t>Классификации</w:t>
        </w:r>
      </w:hyperlink>
      <w:r>
        <w:t xml:space="preserve"> осуществляется ежегодно путем включения и (или) исключения из нее технических средств (изделий) при поступлении предложений о включении в Классификацию и (или) исключении из Классификации технических средств (изделий) (далее - предложение).</w:t>
      </w:r>
    </w:p>
    <w:p w14:paraId="44AC0F3E" w14:textId="77777777" w:rsidR="00AB6695" w:rsidRDefault="00AB6695">
      <w:bookmarkStart w:id="5" w:name="sub_1003"/>
      <w:bookmarkEnd w:id="4"/>
      <w:r>
        <w:lastRenderedPageBreak/>
        <w:t xml:space="preserve">3. Федеральные органы исполнительной власти, исполнительные органы государственной власти субъектов Российской Федерации, общественные объединения, осуществляющие деятельность в сферах здравоохранения и социальной защиты населения, в том числе по защите прав граждан в этих сферах, поставщики, производители технических средств (изделий) и (или) иные органы и организации, осуществляющие обеспечение техническими средствами (изделиями) (далее - заявители), направляют в Министерство труда и социальной защиты Российской Федерации (далее - Министерство) на бумажном носителе и в электронном виде предложения, содержащие сведения, предусмотренные </w:t>
      </w:r>
      <w:hyperlink w:anchor="sub_1004" w:history="1">
        <w:r>
          <w:rPr>
            <w:rStyle w:val="a4"/>
            <w:rFonts w:cs="Times New Roman CYR"/>
          </w:rPr>
          <w:t>пунктами 4</w:t>
        </w:r>
      </w:hyperlink>
      <w:r>
        <w:t xml:space="preserve">, </w:t>
      </w:r>
      <w:hyperlink w:anchor="sub_1006" w:history="1">
        <w:r>
          <w:rPr>
            <w:rStyle w:val="a4"/>
            <w:rFonts w:cs="Times New Roman CYR"/>
          </w:rPr>
          <w:t>6</w:t>
        </w:r>
      </w:hyperlink>
      <w:r>
        <w:t xml:space="preserve"> настоящего Порядка, с приложением документов, указанных в </w:t>
      </w:r>
      <w:hyperlink w:anchor="sub_1005" w:history="1">
        <w:r>
          <w:rPr>
            <w:rStyle w:val="a4"/>
            <w:rFonts w:cs="Times New Roman CYR"/>
          </w:rPr>
          <w:t>пунктах 5</w:t>
        </w:r>
      </w:hyperlink>
      <w:r>
        <w:t xml:space="preserve">, </w:t>
      </w:r>
      <w:hyperlink w:anchor="sub_1007" w:history="1">
        <w:r>
          <w:rPr>
            <w:rStyle w:val="a4"/>
            <w:rFonts w:cs="Times New Roman CYR"/>
          </w:rPr>
          <w:t>7</w:t>
        </w:r>
      </w:hyperlink>
      <w:r>
        <w:t xml:space="preserve"> настоящего Порядка.</w:t>
      </w:r>
    </w:p>
    <w:p w14:paraId="17D1A647" w14:textId="77777777" w:rsidR="00AB6695" w:rsidRDefault="00AB6695">
      <w:bookmarkStart w:id="6" w:name="sub_1004"/>
      <w:bookmarkEnd w:id="5"/>
      <w:r>
        <w:t xml:space="preserve">4. Предложения о включении в </w:t>
      </w:r>
      <w:hyperlink r:id="rId12" w:history="1">
        <w:r>
          <w:rPr>
            <w:rStyle w:val="a4"/>
            <w:rFonts w:cs="Times New Roman CYR"/>
          </w:rPr>
          <w:t>Классификацию</w:t>
        </w:r>
      </w:hyperlink>
      <w:r>
        <w:t xml:space="preserve"> технического средства (изделия) должны содержать следующие сведения:</w:t>
      </w:r>
    </w:p>
    <w:p w14:paraId="60E4A2B8" w14:textId="77777777" w:rsidR="00AB6695" w:rsidRDefault="00AB6695">
      <w:bookmarkStart w:id="7" w:name="sub_1041"/>
      <w:bookmarkEnd w:id="6"/>
      <w:r>
        <w:t>а) сведения о заявителе:</w:t>
      </w:r>
    </w:p>
    <w:bookmarkEnd w:id="7"/>
    <w:p w14:paraId="3E435E23" w14:textId="77777777" w:rsidR="00AB6695" w:rsidRDefault="00AB6695">
      <w:r>
        <w:t>полное наименование;</w:t>
      </w:r>
    </w:p>
    <w:p w14:paraId="397F30C5" w14:textId="77777777" w:rsidR="00AB6695" w:rsidRDefault="00AB6695">
      <w:r>
        <w:t>фамилия, имя, отчество (при наличии) ответственного лица, занимаемая должность;</w:t>
      </w:r>
    </w:p>
    <w:p w14:paraId="5F7EB70D" w14:textId="77777777" w:rsidR="00AB6695" w:rsidRDefault="00AB6695">
      <w:r>
        <w:t>адрес места нахождения;</w:t>
      </w:r>
    </w:p>
    <w:p w14:paraId="1B41647D" w14:textId="77777777" w:rsidR="00AB6695" w:rsidRDefault="00AB6695">
      <w:r>
        <w:t>телефон (факс), электронная почта;</w:t>
      </w:r>
    </w:p>
    <w:p w14:paraId="36B8BF11" w14:textId="77777777" w:rsidR="00AB6695" w:rsidRDefault="00AB6695">
      <w:bookmarkStart w:id="8" w:name="sub_1042"/>
      <w:r>
        <w:t>б) сведения о техническом средстве (изделии):</w:t>
      </w:r>
    </w:p>
    <w:bookmarkEnd w:id="8"/>
    <w:p w14:paraId="6886B6BB" w14:textId="77777777" w:rsidR="00AB6695" w:rsidRDefault="00AB6695">
      <w:r>
        <w:t>наименование технического средства (изделия);</w:t>
      </w:r>
    </w:p>
    <w:p w14:paraId="131D0FAF" w14:textId="77777777" w:rsidR="00AB6695" w:rsidRDefault="00AB6695">
      <w:r>
        <w:t>функциональные и технические характеристики технического средства (изделия);</w:t>
      </w:r>
    </w:p>
    <w:p w14:paraId="5CEF67B1" w14:textId="77777777" w:rsidR="00AB6695" w:rsidRDefault="00AB6695">
      <w:r>
        <w:t>показания к применению технического средства (изделия) согласно инструкции по применению (перечислить);</w:t>
      </w:r>
    </w:p>
    <w:p w14:paraId="6769D734" w14:textId="77777777" w:rsidR="00AB6695" w:rsidRDefault="00AB6695">
      <w:r>
        <w:t>среднерыночная стоимость технического средства (изделия).</w:t>
      </w:r>
    </w:p>
    <w:p w14:paraId="6271C0ED" w14:textId="77777777" w:rsidR="00AB6695" w:rsidRDefault="00AB6695">
      <w:bookmarkStart w:id="9" w:name="sub_1005"/>
      <w:r>
        <w:t xml:space="preserve">5. К предложениям о включении в </w:t>
      </w:r>
      <w:hyperlink r:id="rId13" w:history="1">
        <w:r>
          <w:rPr>
            <w:rStyle w:val="a4"/>
            <w:rFonts w:cs="Times New Roman CYR"/>
          </w:rPr>
          <w:t>Классификацию</w:t>
        </w:r>
      </w:hyperlink>
      <w:r>
        <w:t xml:space="preserve"> технического средства (изделия) должны быть приложены документы, обосновывающие необходимость включения в Классификацию такого технического средства (изделия) и подтверждающие:</w:t>
      </w:r>
    </w:p>
    <w:bookmarkEnd w:id="9"/>
    <w:p w14:paraId="41033889" w14:textId="77777777" w:rsidR="00AB6695" w:rsidRDefault="00AB6695">
      <w:r>
        <w:t>соответствие технического средства (изделия) требованиям, установленным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стандартизации;</w:t>
      </w:r>
    </w:p>
    <w:p w14:paraId="339CC3F3" w14:textId="77777777" w:rsidR="00AB6695" w:rsidRDefault="00AB6695">
      <w:r>
        <w:t>эффективность применения технического средства (изделия) для компенсации или устранения стойких ограничений жизнедеятельности инвалида с учетом заявленных функциональных и технических характеристик технического средства (изделия), а также показаний к его применению;</w:t>
      </w:r>
    </w:p>
    <w:p w14:paraId="20161580" w14:textId="77777777" w:rsidR="00AB6695" w:rsidRDefault="00AB6695">
      <w:r>
        <w:t>наличие функциональных и технических преимуществ технического средства (изделия) по сравнению с техническими средствами (изделиями), обеспечивающими компенсацию или устранение аналогичных стойких ограничений жизнедеятельности инвалида (далее - аналоги), входящими в Классификацию;</w:t>
      </w:r>
    </w:p>
    <w:p w14:paraId="0A438946" w14:textId="77777777" w:rsidR="00AB6695" w:rsidRDefault="00AB6695">
      <w:r>
        <w:t>экономическая целесообразность (сравнение заявленной среднерыночной стоимости технического средства (изделия) с аналогами, входящими в Классификацию);</w:t>
      </w:r>
    </w:p>
    <w:p w14:paraId="5BF5F7A1" w14:textId="77777777" w:rsidR="00AB6695" w:rsidRDefault="00AB6695">
      <w:r>
        <w:t>востребованность технического средства (изделия) инвалидами, в том числе предоставление технического средства (изделия) за счет средств бюджетов субъектов Российской Федерации.</w:t>
      </w:r>
    </w:p>
    <w:p w14:paraId="0629B3FC" w14:textId="77777777" w:rsidR="00AB6695" w:rsidRDefault="00AB6695">
      <w:r>
        <w:t>Заявитель может указать и представить иные дополнительные сведения и документы, обосновывающие необходимость включения в Классификацию технического средства (изделия), в инициативном порядке.</w:t>
      </w:r>
    </w:p>
    <w:p w14:paraId="08EA6B85" w14:textId="77777777" w:rsidR="00AB6695" w:rsidRDefault="00AB6695">
      <w:bookmarkStart w:id="10" w:name="sub_1006"/>
      <w:r>
        <w:t xml:space="preserve">6. Предложения об исключении из </w:t>
      </w:r>
      <w:hyperlink r:id="rId14" w:history="1">
        <w:r>
          <w:rPr>
            <w:rStyle w:val="a4"/>
            <w:rFonts w:cs="Times New Roman CYR"/>
          </w:rPr>
          <w:t>Классификации</w:t>
        </w:r>
      </w:hyperlink>
      <w:r>
        <w:t xml:space="preserve"> технического средства (изделия) должны содержать следующие сведения:</w:t>
      </w:r>
    </w:p>
    <w:p w14:paraId="242B7DCC" w14:textId="77777777" w:rsidR="00AB6695" w:rsidRDefault="00AB6695">
      <w:bookmarkStart w:id="11" w:name="sub_1061"/>
      <w:bookmarkEnd w:id="10"/>
      <w:r>
        <w:t>а) сведения о заявителе: полное наименование;</w:t>
      </w:r>
    </w:p>
    <w:bookmarkEnd w:id="11"/>
    <w:p w14:paraId="3385C298" w14:textId="77777777" w:rsidR="00AB6695" w:rsidRDefault="00AB6695">
      <w:r>
        <w:t>фамилия, имя, отчество (при наличии) ответственного лица, занимаемая должность;</w:t>
      </w:r>
    </w:p>
    <w:p w14:paraId="2D86FFA3" w14:textId="77777777" w:rsidR="00AB6695" w:rsidRDefault="00AB6695">
      <w:r>
        <w:t>адрес места нахождения;</w:t>
      </w:r>
    </w:p>
    <w:p w14:paraId="2F09CF75" w14:textId="77777777" w:rsidR="00AB6695" w:rsidRDefault="00AB6695">
      <w:r>
        <w:t>телефон (факс), электронная почта;</w:t>
      </w:r>
    </w:p>
    <w:p w14:paraId="26687AAC" w14:textId="77777777" w:rsidR="00AB6695" w:rsidRDefault="00AB6695">
      <w:bookmarkStart w:id="12" w:name="sub_1062"/>
      <w:r>
        <w:t xml:space="preserve">б) сведения о техническом средстве (изделии) - вид и наименование технического средства </w:t>
      </w:r>
      <w:r>
        <w:lastRenderedPageBreak/>
        <w:t>(изделия) с указанием порядкового номера в соответствии с Классификацией.</w:t>
      </w:r>
    </w:p>
    <w:p w14:paraId="1136D0AF" w14:textId="77777777" w:rsidR="00AB6695" w:rsidRDefault="00AB6695">
      <w:bookmarkStart w:id="13" w:name="sub_1007"/>
      <w:bookmarkEnd w:id="12"/>
      <w:r>
        <w:t xml:space="preserve">7. К предложениям об исключении из </w:t>
      </w:r>
      <w:hyperlink r:id="rId15" w:history="1">
        <w:r>
          <w:rPr>
            <w:rStyle w:val="a4"/>
            <w:rFonts w:cs="Times New Roman CYR"/>
          </w:rPr>
          <w:t>Классификации</w:t>
        </w:r>
      </w:hyperlink>
      <w:r>
        <w:t xml:space="preserve"> технического средства (изделия) должны быть приложены следующие документы, обосновывающие необходимость исключения из Классификации такого технического средства (изделия) и подтверждающие:</w:t>
      </w:r>
    </w:p>
    <w:bookmarkEnd w:id="13"/>
    <w:p w14:paraId="7EF085E3" w14:textId="77777777" w:rsidR="00AB6695" w:rsidRDefault="00AB6695">
      <w:r>
        <w:t>неэффективность применения технического средства (изделия) для компенсации или устранения стойких ограничений жизнедеятельности инвалида;</w:t>
      </w:r>
    </w:p>
    <w:p w14:paraId="6C4D5E22" w14:textId="77777777" w:rsidR="00AB6695" w:rsidRDefault="00AB6695">
      <w:r>
        <w:t>отсутствие функциональных и технических преимуществ технического средства (изделия) по сравнению с аналогами, имеющимися на российском рынке;</w:t>
      </w:r>
    </w:p>
    <w:p w14:paraId="6F21242D" w14:textId="77777777" w:rsidR="00AB6695" w:rsidRDefault="00AB6695">
      <w:r>
        <w:t>экономическая нецелесообразность (сравнение среднерыночной стоимости технического средства (изделия) с аналогами, имеющимися на российском рынке);</w:t>
      </w:r>
    </w:p>
    <w:p w14:paraId="6575CCDA" w14:textId="77777777" w:rsidR="00AB6695" w:rsidRDefault="00AB6695">
      <w:r>
        <w:t>невостребованность технического средства (изделия) инвалидами.</w:t>
      </w:r>
    </w:p>
    <w:p w14:paraId="7340C6CC" w14:textId="77777777" w:rsidR="00AB6695" w:rsidRDefault="00AB6695">
      <w:r>
        <w:t>Заявитель может указать и представить иные дополнительные сведения и документы, обосновывающие необходимость исключения из Классификации такого технического средства (изделия), в инициативном порядке.</w:t>
      </w:r>
    </w:p>
    <w:p w14:paraId="171766C4" w14:textId="77777777" w:rsidR="00AB6695" w:rsidRDefault="00AB6695">
      <w:bookmarkStart w:id="14" w:name="sub_1008"/>
      <w:r>
        <w:t xml:space="preserve">8. Одновременно с направлением предложения о включении в </w:t>
      </w:r>
      <w:hyperlink r:id="rId16" w:history="1">
        <w:r>
          <w:rPr>
            <w:rStyle w:val="a4"/>
            <w:rFonts w:cs="Times New Roman CYR"/>
          </w:rPr>
          <w:t>Классификацию</w:t>
        </w:r>
      </w:hyperlink>
      <w:r>
        <w:t xml:space="preserve"> технического средства (изделия) заявителем может быть направлено предложение об исключении из Классификации аналога в соответствии с </w:t>
      </w:r>
      <w:hyperlink w:anchor="sub_1006" w:history="1">
        <w:r>
          <w:rPr>
            <w:rStyle w:val="a4"/>
            <w:rFonts w:cs="Times New Roman CYR"/>
          </w:rPr>
          <w:t>пунктами 6</w:t>
        </w:r>
      </w:hyperlink>
      <w:r>
        <w:t xml:space="preserve">, </w:t>
      </w:r>
      <w:hyperlink w:anchor="sub_1007" w:history="1">
        <w:r>
          <w:rPr>
            <w:rStyle w:val="a4"/>
            <w:rFonts w:cs="Times New Roman CYR"/>
          </w:rPr>
          <w:t>7</w:t>
        </w:r>
      </w:hyperlink>
      <w:r>
        <w:t xml:space="preserve"> настоящего Порядка.</w:t>
      </w:r>
    </w:p>
    <w:bookmarkEnd w:id="14"/>
    <w:p w14:paraId="77CE1AFB" w14:textId="77777777" w:rsidR="00AB6695" w:rsidRDefault="00AB6695">
      <w:r>
        <w:t xml:space="preserve">Одновременно с направлением предложения об исключении из Классификации технического средства (изделия) заявителем может быть направлено предложение о включении в Классификацию аналога в соответствии с </w:t>
      </w:r>
      <w:hyperlink w:anchor="sub_1004" w:history="1">
        <w:r>
          <w:rPr>
            <w:rStyle w:val="a4"/>
            <w:rFonts w:cs="Times New Roman CYR"/>
          </w:rPr>
          <w:t>пунктами 4</w:t>
        </w:r>
      </w:hyperlink>
      <w:r>
        <w:t xml:space="preserve">, </w:t>
      </w:r>
      <w:hyperlink w:anchor="sub_1005" w:history="1">
        <w:r>
          <w:rPr>
            <w:rStyle w:val="a4"/>
            <w:rFonts w:cs="Times New Roman CYR"/>
          </w:rPr>
          <w:t>5</w:t>
        </w:r>
      </w:hyperlink>
      <w:r>
        <w:t xml:space="preserve"> настоящего Порядка.</w:t>
      </w:r>
    </w:p>
    <w:p w14:paraId="38EE0EB6" w14:textId="77777777" w:rsidR="00AB6695" w:rsidRDefault="00AB6695">
      <w:bookmarkStart w:id="15" w:name="sub_1009"/>
      <w:r>
        <w:t>9. Предложения и прилагаемые к ним документы должны быть представлены на русском языке или переведены на русский язык (в случае их представления на иностранных языках) и заверены заявителем.</w:t>
      </w:r>
    </w:p>
    <w:p w14:paraId="1FB73BF4" w14:textId="77777777" w:rsidR="00AB6695" w:rsidRDefault="00AB6695">
      <w:bookmarkStart w:id="16" w:name="sub_1010"/>
      <w:bookmarkEnd w:id="15"/>
      <w:r>
        <w:t>10. Министерство в течение 30 дней со дня регистрации предложения организует проведение его документальной экспертизы, в ходе которой проверяется:</w:t>
      </w:r>
    </w:p>
    <w:p w14:paraId="5383BF54" w14:textId="77777777" w:rsidR="00AB6695" w:rsidRDefault="00AB6695">
      <w:bookmarkStart w:id="17" w:name="sub_1101"/>
      <w:bookmarkEnd w:id="16"/>
      <w:r>
        <w:t>а) надлежащее оформление предложения, в том числе полнота содержащихся в нем сведений и прилагаемых документов;</w:t>
      </w:r>
    </w:p>
    <w:p w14:paraId="004FE27F" w14:textId="77777777" w:rsidR="00AB6695" w:rsidRDefault="00AB6695">
      <w:bookmarkStart w:id="18" w:name="sub_1102"/>
      <w:bookmarkEnd w:id="17"/>
      <w:r>
        <w:t>б) наличие предложения и прилагаемых документов в электронном виде;</w:t>
      </w:r>
    </w:p>
    <w:p w14:paraId="13B0C19C" w14:textId="77777777" w:rsidR="00AB6695" w:rsidRDefault="00AB6695">
      <w:bookmarkStart w:id="19" w:name="sub_1103"/>
      <w:bookmarkEnd w:id="18"/>
      <w:r>
        <w:t>в) соответствие сведений, содержащихся в предложении, прилагаемых документов, представленных на бумажном носителе, сведениям и документам, представленным в электронном виде.</w:t>
      </w:r>
    </w:p>
    <w:p w14:paraId="7F003C3C" w14:textId="77777777" w:rsidR="00AB6695" w:rsidRDefault="00AB6695">
      <w:bookmarkStart w:id="20" w:name="sub_1011"/>
      <w:bookmarkEnd w:id="19"/>
      <w:r>
        <w:t>11. По результатам документальной экспертизы предложения Министерством оформляется заключение по результатам документальной экспертизы (далее - заключение).</w:t>
      </w:r>
    </w:p>
    <w:p w14:paraId="4713CBB4" w14:textId="77777777" w:rsidR="00AB6695" w:rsidRDefault="00AB6695">
      <w:bookmarkStart w:id="21" w:name="sub_1012"/>
      <w:bookmarkEnd w:id="20"/>
      <w:r>
        <w:t>12. В случае вынесения отрицательного заключения Министерство в срок, не превышающий 15 дней со дня его вынесения, направляет заявителю соответствующее заключение с указанием замечаний. Представленные сведения и приложенные документы заявителю не возвращаются.</w:t>
      </w:r>
    </w:p>
    <w:bookmarkEnd w:id="21"/>
    <w:p w14:paraId="5D7A98D2" w14:textId="77777777" w:rsidR="00AB6695" w:rsidRDefault="00AB6695">
      <w:r>
        <w:t>Доработанное заявителем предложение с устраненными замечаниями, указанными в заключении, может быть повторно направлено в Министерство.</w:t>
      </w:r>
    </w:p>
    <w:p w14:paraId="4345A7BA" w14:textId="77777777" w:rsidR="00AB6695" w:rsidRDefault="00AB6695">
      <w:bookmarkStart w:id="22" w:name="sub_1013"/>
      <w:r>
        <w:t xml:space="preserve">13. При вынесении положительного заключения Министерство в срок, не превышающий 7 дней со дня вынесения указанного заключения, направляет предложение в подведомственные Министерству федеральные государственные бюджетные учреждения - Федеральное бюро медико-социальной экспертизы, Федеральный научный центр реабилитации инвалидов им. Г.А. Альбрехта, Новокузнецкий научно-практический центр медико-социальной экспертизы и реабилитации инвалидов (далее - организации) для проведения проверки предложения с целью подтверждения достоверности или установления недостоверности представленных заявителем сведений и приложенных документов, обосновывающих необходимость включения в </w:t>
      </w:r>
      <w:hyperlink r:id="rId17" w:history="1">
        <w:r>
          <w:rPr>
            <w:rStyle w:val="a4"/>
            <w:rFonts w:cs="Times New Roman CYR"/>
          </w:rPr>
          <w:t>Классификацию</w:t>
        </w:r>
      </w:hyperlink>
      <w:r>
        <w:t xml:space="preserve"> и (или) исключения из Классификации технического средства (изделия), с применением критериев, указанных в </w:t>
      </w:r>
      <w:hyperlink w:anchor="sub_1022" w:history="1">
        <w:r>
          <w:rPr>
            <w:rStyle w:val="a4"/>
            <w:rFonts w:cs="Times New Roman CYR"/>
          </w:rPr>
          <w:t>пунктах 22</w:t>
        </w:r>
      </w:hyperlink>
      <w:r>
        <w:t xml:space="preserve">, </w:t>
      </w:r>
      <w:hyperlink w:anchor="sub_1023" w:history="1">
        <w:r>
          <w:rPr>
            <w:rStyle w:val="a4"/>
            <w:rFonts w:cs="Times New Roman CYR"/>
          </w:rPr>
          <w:t>23</w:t>
        </w:r>
      </w:hyperlink>
      <w:r>
        <w:t xml:space="preserve"> настоящего Порядка.</w:t>
      </w:r>
    </w:p>
    <w:bookmarkEnd w:id="22"/>
    <w:p w14:paraId="62405293" w14:textId="77777777" w:rsidR="00AB6695" w:rsidRDefault="00AB6695">
      <w:r>
        <w:t>Срок проведения проверки предложения и направления в Министерство ее результатов не может превышать 15 дней с даты регистрации такого предложения в организации.</w:t>
      </w:r>
    </w:p>
    <w:p w14:paraId="58ACC098" w14:textId="77777777" w:rsidR="00AB6695" w:rsidRDefault="00AB6695">
      <w:r>
        <w:lastRenderedPageBreak/>
        <w:t>В целях получения необходимой дополнительной информации по представленным сведениям и приложенным документам Министерство может направлять запросы в профессиональные медицинские сообщества и компетентным специалистам в соответствующей сфере деятельности.</w:t>
      </w:r>
    </w:p>
    <w:p w14:paraId="76657656" w14:textId="77777777" w:rsidR="00AB6695" w:rsidRDefault="00AB6695">
      <w:bookmarkStart w:id="23" w:name="sub_1014"/>
      <w:r>
        <w:t>14. На основании представленного заявителем предложения, результатов проверки предложения, проведенной организациями, а также с учетом дополнительной информации (при наличии), представленной профессиональными медицинскими сообществами и компетентными специалистами в соответствующей сфере деятельности, Министерство организует проведение экспертизы предложения.</w:t>
      </w:r>
    </w:p>
    <w:p w14:paraId="2D79A965" w14:textId="77777777" w:rsidR="00AB6695" w:rsidRDefault="00AB6695">
      <w:bookmarkStart w:id="24" w:name="sub_1015"/>
      <w:bookmarkEnd w:id="23"/>
      <w:r>
        <w:t>15. Для проведения экспертизы предложения Министерством создается экспертная комиссия (далее - Комиссия), в состав которой входит не менее семи человек, включая председателя, заместителя председателя, секретаря и членов Комиссии.</w:t>
      </w:r>
    </w:p>
    <w:bookmarkEnd w:id="24"/>
    <w:p w14:paraId="2F644DC0" w14:textId="77777777" w:rsidR="00AB6695" w:rsidRDefault="00AB6695">
      <w:r>
        <w:t>Состав Комиссии определяется Министерством.</w:t>
      </w:r>
    </w:p>
    <w:p w14:paraId="36079239" w14:textId="77777777" w:rsidR="00AB6695" w:rsidRDefault="00AB6695">
      <w:r>
        <w:t>Председателем и заместителем председателя Комиссии являются представители Министерства.</w:t>
      </w:r>
    </w:p>
    <w:p w14:paraId="5B815585" w14:textId="77777777" w:rsidR="00AB6695" w:rsidRDefault="00AB6695">
      <w:r>
        <w:t>На заседания Комиссии приглашаются заявители и в отдельных случаях, требующих наличия специальных знаний, на заседания Комиссии по решению председателя Комиссии (в его отсутствие заместителя председателя Комиссии) приглашаются специалисты, обладающие специальными знаниями, необходимыми для проведения экспертизы.</w:t>
      </w:r>
    </w:p>
    <w:p w14:paraId="0BBAADBB" w14:textId="77777777" w:rsidR="00AB6695" w:rsidRDefault="00AB6695">
      <w:bookmarkStart w:id="25" w:name="sub_1016"/>
      <w:r>
        <w:t>16. Председатель Комиссии осуществляет:</w:t>
      </w:r>
    </w:p>
    <w:p w14:paraId="13A78D51" w14:textId="77777777" w:rsidR="00AB6695" w:rsidRDefault="00AB6695">
      <w:bookmarkStart w:id="26" w:name="sub_1161"/>
      <w:bookmarkEnd w:id="25"/>
      <w:r>
        <w:t>1) общее руководство деятельностью Комиссии и организует ее работу;</w:t>
      </w:r>
    </w:p>
    <w:p w14:paraId="1DE5209D" w14:textId="77777777" w:rsidR="00AB6695" w:rsidRDefault="00AB6695">
      <w:bookmarkStart w:id="27" w:name="sub_1162"/>
      <w:bookmarkEnd w:id="26"/>
      <w:r>
        <w:t>2) определяет даты, время и место проведения заседаний Комиссии;</w:t>
      </w:r>
    </w:p>
    <w:p w14:paraId="7A20E5BF" w14:textId="77777777" w:rsidR="00AB6695" w:rsidRDefault="00AB6695">
      <w:bookmarkStart w:id="28" w:name="sub_1163"/>
      <w:bookmarkEnd w:id="27"/>
      <w:r>
        <w:t>3) утверждает повестку заседания Комиссии;</w:t>
      </w:r>
    </w:p>
    <w:p w14:paraId="5B1AD1DD" w14:textId="77777777" w:rsidR="00AB6695" w:rsidRDefault="00AB6695">
      <w:bookmarkStart w:id="29" w:name="sub_1164"/>
      <w:bookmarkEnd w:id="28"/>
      <w:r>
        <w:t>4) ведет заседания Комиссии;</w:t>
      </w:r>
    </w:p>
    <w:p w14:paraId="2EF1E055" w14:textId="77777777" w:rsidR="00AB6695" w:rsidRDefault="00AB6695">
      <w:bookmarkStart w:id="30" w:name="sub_1165"/>
      <w:bookmarkEnd w:id="29"/>
      <w:r>
        <w:t>5) подписывает протоколы заседаний Комиссии (далее - протокол).</w:t>
      </w:r>
    </w:p>
    <w:p w14:paraId="1037D694" w14:textId="77777777" w:rsidR="00AB6695" w:rsidRDefault="00AB6695">
      <w:bookmarkStart w:id="31" w:name="sub_1017"/>
      <w:bookmarkEnd w:id="30"/>
      <w:r>
        <w:t>17. В отсутствие председателя Комиссии его обязанности исполняет заместитель председателя Комиссии.</w:t>
      </w:r>
    </w:p>
    <w:p w14:paraId="492F99FF" w14:textId="77777777" w:rsidR="00AB6695" w:rsidRDefault="00AB6695">
      <w:bookmarkStart w:id="32" w:name="sub_1018"/>
      <w:bookmarkEnd w:id="31"/>
      <w:r>
        <w:t>18. Секретарь Комиссии:</w:t>
      </w:r>
    </w:p>
    <w:p w14:paraId="4233A840" w14:textId="77777777" w:rsidR="00AB6695" w:rsidRDefault="00AB6695">
      <w:bookmarkStart w:id="33" w:name="sub_1181"/>
      <w:bookmarkEnd w:id="32"/>
      <w:r>
        <w:t>1) информирует членов Комиссии о дате, времени и месте проведения заседаний Комиссии;</w:t>
      </w:r>
    </w:p>
    <w:p w14:paraId="52CA6635" w14:textId="77777777" w:rsidR="00AB6695" w:rsidRDefault="00AB6695">
      <w:bookmarkStart w:id="34" w:name="sub_1182"/>
      <w:bookmarkEnd w:id="33"/>
      <w:r>
        <w:t>2) обеспечивает рассылку повестки заседания Комиссии и материалов по вопросам заседания Комиссии;</w:t>
      </w:r>
    </w:p>
    <w:p w14:paraId="39BFD99E" w14:textId="77777777" w:rsidR="00AB6695" w:rsidRDefault="00AB6695">
      <w:bookmarkStart w:id="35" w:name="sub_1183"/>
      <w:bookmarkEnd w:id="34"/>
      <w:r>
        <w:t>3) оформляет протоколы, организует их направление на подписание членам Комиссии, а также обеспечивает их хранение и направление копий протоколов заявителям.</w:t>
      </w:r>
    </w:p>
    <w:p w14:paraId="100C5E7D" w14:textId="77777777" w:rsidR="00AB6695" w:rsidRDefault="00AB6695">
      <w:bookmarkStart w:id="36" w:name="sub_1019"/>
      <w:bookmarkEnd w:id="35"/>
      <w:r>
        <w:t>19. Члены Комиссии участвуют в заседаниях Комиссии и подписывают протоколы.</w:t>
      </w:r>
    </w:p>
    <w:p w14:paraId="45919DF4" w14:textId="77777777" w:rsidR="00AB6695" w:rsidRDefault="00AB6695">
      <w:bookmarkStart w:id="37" w:name="sub_1020"/>
      <w:bookmarkEnd w:id="36"/>
      <w:r>
        <w:t>20. Заседания Комиссии проводятся по мере необходимости. Заседание Комиссии считается правомочным, если на нем присутствует не менее двух третей членов Комиссии.</w:t>
      </w:r>
    </w:p>
    <w:p w14:paraId="7E656A7C" w14:textId="77777777" w:rsidR="00AB6695" w:rsidRDefault="00AB6695">
      <w:bookmarkStart w:id="38" w:name="sub_1021"/>
      <w:bookmarkEnd w:id="37"/>
      <w:r>
        <w:t xml:space="preserve">21. Комиссия проводит экспертизу предложения, по результатам которой выносит решение о включении в </w:t>
      </w:r>
      <w:hyperlink r:id="rId18" w:history="1">
        <w:r>
          <w:rPr>
            <w:rStyle w:val="a4"/>
            <w:rFonts w:cs="Times New Roman CYR"/>
          </w:rPr>
          <w:t>Классификацию</w:t>
        </w:r>
      </w:hyperlink>
      <w:r>
        <w:t xml:space="preserve"> и (или) исключении из Классификации технического средства (изделия).</w:t>
      </w:r>
    </w:p>
    <w:p w14:paraId="13B316E1" w14:textId="77777777" w:rsidR="00AB6695" w:rsidRDefault="00AB6695">
      <w:bookmarkStart w:id="39" w:name="sub_1022"/>
      <w:bookmarkEnd w:id="38"/>
      <w:r>
        <w:t xml:space="preserve">22. Экспертиза предложения о включении в </w:t>
      </w:r>
      <w:hyperlink r:id="rId19" w:history="1">
        <w:r>
          <w:rPr>
            <w:rStyle w:val="a4"/>
            <w:rFonts w:cs="Times New Roman CYR"/>
          </w:rPr>
          <w:t>Классификацию</w:t>
        </w:r>
      </w:hyperlink>
      <w:r>
        <w:t xml:space="preserve"> технического средства (изделия) проводится по соответствующим критериям с использованием следующих баллов:</w:t>
      </w:r>
    </w:p>
    <w:p w14:paraId="588164B8" w14:textId="77777777" w:rsidR="00AB6695" w:rsidRDefault="00AB6695">
      <w:bookmarkStart w:id="40" w:name="sub_1221"/>
      <w:bookmarkEnd w:id="39"/>
      <w:r>
        <w:t>1) эффективность применения технического средства (изделия) для компенсации или устранения стойких ограничений жизнедеятельности инвалида с учетом заявленных функциональных и технических характеристик технического средства (изделия), а также показаний к его применению:</w:t>
      </w:r>
    </w:p>
    <w:bookmarkEnd w:id="40"/>
    <w:p w14:paraId="7701BC69" w14:textId="77777777" w:rsidR="00AB6695" w:rsidRDefault="00AB6695">
      <w:r>
        <w:t>высокая эффективность - 3 балла;</w:t>
      </w:r>
    </w:p>
    <w:p w14:paraId="18A5F29F" w14:textId="77777777" w:rsidR="00AB6695" w:rsidRDefault="00AB6695">
      <w:r>
        <w:t>средняя эффективность - 1 балл;</w:t>
      </w:r>
    </w:p>
    <w:p w14:paraId="31597596" w14:textId="77777777" w:rsidR="00AB6695" w:rsidRDefault="00AB6695">
      <w:r>
        <w:t>низкая эффективность или отсутствие эффективности - 0 баллов;</w:t>
      </w:r>
    </w:p>
    <w:p w14:paraId="5000BB55" w14:textId="77777777" w:rsidR="00AB6695" w:rsidRDefault="00AB6695">
      <w:bookmarkStart w:id="41" w:name="sub_1222"/>
      <w:r>
        <w:t>2) функциональные и технические преимущества технического средства (изделия) по сравнению с аналогами, входящими в Классификацию:</w:t>
      </w:r>
    </w:p>
    <w:bookmarkEnd w:id="41"/>
    <w:p w14:paraId="471F7C6D" w14:textId="77777777" w:rsidR="00AB6695" w:rsidRDefault="00AB6695">
      <w:r>
        <w:lastRenderedPageBreak/>
        <w:t>существенные преимущества - 3 балла;</w:t>
      </w:r>
    </w:p>
    <w:p w14:paraId="1DF5458E" w14:textId="77777777" w:rsidR="00AB6695" w:rsidRDefault="00AB6695">
      <w:r>
        <w:t>незначительные преимущества - 1 балл;</w:t>
      </w:r>
    </w:p>
    <w:p w14:paraId="657A17E6" w14:textId="77777777" w:rsidR="00AB6695" w:rsidRDefault="00AB6695">
      <w:r>
        <w:t>отсутствие преимуществ - 0 баллов;</w:t>
      </w:r>
    </w:p>
    <w:p w14:paraId="17F3BF0E" w14:textId="77777777" w:rsidR="00AB6695" w:rsidRDefault="00AB6695">
      <w:bookmarkStart w:id="42" w:name="sub_1223"/>
      <w:r>
        <w:t>3) экономическая целесообразность (сравнение заявленной среднерыночной стоимости технического средства (изделия) с аналогами, входящими в Классификацию):</w:t>
      </w:r>
    </w:p>
    <w:bookmarkEnd w:id="42"/>
    <w:p w14:paraId="7CF53028" w14:textId="77777777" w:rsidR="00AB6695" w:rsidRDefault="00AB6695">
      <w:r>
        <w:t>выше стоимости с процентом отклонения 50 и более - 0 баллов;</w:t>
      </w:r>
    </w:p>
    <w:p w14:paraId="654577F3" w14:textId="77777777" w:rsidR="00AB6695" w:rsidRDefault="00AB6695">
      <w:r>
        <w:t>выше стоимости с процентом отклонения 30 - 50 - 1 балл;</w:t>
      </w:r>
    </w:p>
    <w:p w14:paraId="35178436" w14:textId="77777777" w:rsidR="00AB6695" w:rsidRDefault="00AB6695">
      <w:r>
        <w:t>выше стоимости с процентом отклонения 10 - 30 - 3 балла;</w:t>
      </w:r>
    </w:p>
    <w:p w14:paraId="6237EAC6" w14:textId="77777777" w:rsidR="00AB6695" w:rsidRDefault="00AB6695">
      <w:r>
        <w:t>соответствует стоимости с процентом отклонения не более 10 - 5 баллов;</w:t>
      </w:r>
    </w:p>
    <w:p w14:paraId="1636A1FF" w14:textId="77777777" w:rsidR="00AB6695" w:rsidRDefault="00AB6695">
      <w:r>
        <w:t>ниже стоимости с процентом отклонения 10 и более - 7 баллов;</w:t>
      </w:r>
    </w:p>
    <w:p w14:paraId="48F174F9" w14:textId="77777777" w:rsidR="00AB6695" w:rsidRDefault="00AB6695">
      <w:bookmarkStart w:id="43" w:name="sub_1224"/>
      <w:r>
        <w:t>4) востребованность технического средства (изделия) инвалидами, в том числе предоставление технического средства (изделия) за счет средств бюджетов субъектов Российской Федерации:</w:t>
      </w:r>
    </w:p>
    <w:bookmarkEnd w:id="43"/>
    <w:p w14:paraId="72215D47" w14:textId="77777777" w:rsidR="00AB6695" w:rsidRDefault="00AB6695">
      <w:r>
        <w:t>да - 1 балл;</w:t>
      </w:r>
    </w:p>
    <w:p w14:paraId="0504716C" w14:textId="77777777" w:rsidR="00AB6695" w:rsidRDefault="00AB6695">
      <w:r>
        <w:t>нет - 0 баллов.</w:t>
      </w:r>
    </w:p>
    <w:p w14:paraId="167FDCD5" w14:textId="77777777" w:rsidR="00AB6695" w:rsidRDefault="00AB6695">
      <w:bookmarkStart w:id="44" w:name="sub_1023"/>
      <w:r>
        <w:t xml:space="preserve">23. Экспертиза предложения об исключении из </w:t>
      </w:r>
      <w:hyperlink r:id="rId20" w:history="1">
        <w:r>
          <w:rPr>
            <w:rStyle w:val="a4"/>
            <w:rFonts w:cs="Times New Roman CYR"/>
          </w:rPr>
          <w:t>Классификации</w:t>
        </w:r>
      </w:hyperlink>
      <w:r>
        <w:t xml:space="preserve"> технического средства (изделия) проводится по соответствующим критериям с использованием следующих баллов:</w:t>
      </w:r>
    </w:p>
    <w:p w14:paraId="42478B61" w14:textId="77777777" w:rsidR="00AB6695" w:rsidRDefault="00AB6695">
      <w:bookmarkStart w:id="45" w:name="sub_1231"/>
      <w:bookmarkEnd w:id="44"/>
      <w:r>
        <w:t>1) эффективность применения технического средства (изделия) для компенсации или устранения стойких ограничений жизнедеятельности инвалида:</w:t>
      </w:r>
    </w:p>
    <w:bookmarkEnd w:id="45"/>
    <w:p w14:paraId="4DBAE453" w14:textId="77777777" w:rsidR="00AB6695" w:rsidRDefault="00AB6695">
      <w:r>
        <w:t>высокая эффективность - 0 баллов;</w:t>
      </w:r>
    </w:p>
    <w:p w14:paraId="15D62710" w14:textId="77777777" w:rsidR="00AB6695" w:rsidRDefault="00AB6695">
      <w:r>
        <w:t>низкая эффективность - 1 балл;</w:t>
      </w:r>
    </w:p>
    <w:p w14:paraId="53A53B4C" w14:textId="77777777" w:rsidR="00AB6695" w:rsidRDefault="00AB6695">
      <w:r>
        <w:t>отсутствие эффективности - 3 балла;</w:t>
      </w:r>
    </w:p>
    <w:p w14:paraId="04E0AC14" w14:textId="77777777" w:rsidR="00AB6695" w:rsidRDefault="00AB6695">
      <w:bookmarkStart w:id="46" w:name="sub_1232"/>
      <w:r>
        <w:t>2) функциональные и технические преимущества технического средства (изделия) по сравнению с аналогами, имеющимися на российском рынке:</w:t>
      </w:r>
    </w:p>
    <w:bookmarkEnd w:id="46"/>
    <w:p w14:paraId="3A362A19" w14:textId="77777777" w:rsidR="00AB6695" w:rsidRDefault="00AB6695">
      <w:r>
        <w:t>существенные преимущества - 0 баллов;</w:t>
      </w:r>
    </w:p>
    <w:p w14:paraId="4AF9C8B7" w14:textId="77777777" w:rsidR="00AB6695" w:rsidRDefault="00AB6695">
      <w:r>
        <w:t>незначительные преимущества - 1 балл;</w:t>
      </w:r>
    </w:p>
    <w:p w14:paraId="6B95E0D4" w14:textId="77777777" w:rsidR="00AB6695" w:rsidRDefault="00AB6695">
      <w:r>
        <w:t>отсутствие преимуществ - 3 балла;</w:t>
      </w:r>
    </w:p>
    <w:p w14:paraId="6FDF28BD" w14:textId="77777777" w:rsidR="00AB6695" w:rsidRDefault="00AB6695">
      <w:bookmarkStart w:id="47" w:name="sub_1233"/>
      <w:r>
        <w:t>3) экономическая нецелесообразность (сравнение среднерыночной стоимости технического средства (изделия) с аналогами, имеющимися на российском рынке):</w:t>
      </w:r>
    </w:p>
    <w:bookmarkEnd w:id="47"/>
    <w:p w14:paraId="5F2AC116" w14:textId="77777777" w:rsidR="00AB6695" w:rsidRDefault="00AB6695">
      <w:r>
        <w:t>ниже стоимости - 0 баллов;</w:t>
      </w:r>
    </w:p>
    <w:p w14:paraId="063E4E86" w14:textId="77777777" w:rsidR="00AB6695" w:rsidRDefault="00AB6695">
      <w:r>
        <w:t>соответствует стоимости - 1 балл;</w:t>
      </w:r>
    </w:p>
    <w:p w14:paraId="1F5722E1" w14:textId="77777777" w:rsidR="00AB6695" w:rsidRDefault="00AB6695">
      <w:r>
        <w:t>выше стоимости - 3 балла;</w:t>
      </w:r>
    </w:p>
    <w:p w14:paraId="6CE1CE0E" w14:textId="77777777" w:rsidR="00AB6695" w:rsidRDefault="00AB6695">
      <w:bookmarkStart w:id="48" w:name="sub_1234"/>
      <w:r>
        <w:t>4) востребованность технического средства (изделия) инвалидами:</w:t>
      </w:r>
    </w:p>
    <w:bookmarkEnd w:id="48"/>
    <w:p w14:paraId="2DAAD165" w14:textId="77777777" w:rsidR="00AB6695" w:rsidRDefault="00AB6695">
      <w:r>
        <w:t>да - 0 баллов;</w:t>
      </w:r>
    </w:p>
    <w:p w14:paraId="0D2FCF29" w14:textId="77777777" w:rsidR="00AB6695" w:rsidRDefault="00AB6695">
      <w:r>
        <w:t>нет - 1 балл.</w:t>
      </w:r>
    </w:p>
    <w:p w14:paraId="7E2B0599" w14:textId="77777777" w:rsidR="00AB6695" w:rsidRDefault="00AB6695">
      <w:bookmarkStart w:id="49" w:name="sub_1024"/>
      <w:r>
        <w:t xml:space="preserve">24. Решения о включении в </w:t>
      </w:r>
      <w:hyperlink r:id="rId21" w:history="1">
        <w:r>
          <w:rPr>
            <w:rStyle w:val="a4"/>
            <w:rFonts w:cs="Times New Roman CYR"/>
          </w:rPr>
          <w:t>Классификацию</w:t>
        </w:r>
      </w:hyperlink>
      <w:r>
        <w:t xml:space="preserve"> и (или) исключении из Классификации технического средства (изделия) принимаются Комиссией в зависимости от суммы баллов по всем критериям (далее - итоговая оценка предложения) при поддержке не менее двух третей от числа голосов присутствующих на заседании членов Комиссии путем открытого голосования.</w:t>
      </w:r>
    </w:p>
    <w:p w14:paraId="5382B724" w14:textId="77777777" w:rsidR="00AB6695" w:rsidRDefault="00AB6695">
      <w:bookmarkStart w:id="50" w:name="sub_1025"/>
      <w:bookmarkEnd w:id="49"/>
      <w:r>
        <w:t xml:space="preserve">25. Если итоговая оценка предложения о включении в Классификацию технического средства (изделия) составляет 14 баллов, Комиссией принимается решение о включении указанного технического средства (изделия) в </w:t>
      </w:r>
      <w:hyperlink r:id="rId22" w:history="1">
        <w:r>
          <w:rPr>
            <w:rStyle w:val="a4"/>
            <w:rFonts w:cs="Times New Roman CYR"/>
          </w:rPr>
          <w:t>графу 3</w:t>
        </w:r>
      </w:hyperlink>
      <w:r>
        <w:t xml:space="preserve"> "Вид и наименование технического средства реабилитации (изделия), рекомендованного индивидуальной программой реабилитации или абилитации инвалида (заключением об обеспечении ветерана изделиями)" Классификации.</w:t>
      </w:r>
    </w:p>
    <w:p w14:paraId="58B8C3F5" w14:textId="77777777" w:rsidR="00AB6695" w:rsidRDefault="00AB6695">
      <w:bookmarkStart w:id="51" w:name="sub_1026"/>
      <w:bookmarkEnd w:id="50"/>
      <w:r>
        <w:t xml:space="preserve">26. Комиссией принимается решение о включении технического средства (изделия) в </w:t>
      </w:r>
      <w:hyperlink r:id="rId23" w:history="1">
        <w:r>
          <w:rPr>
            <w:rStyle w:val="a4"/>
            <w:rFonts w:cs="Times New Roman CYR"/>
          </w:rPr>
          <w:t>графу 3</w:t>
        </w:r>
      </w:hyperlink>
      <w:r>
        <w:t xml:space="preserve"> "Вид и наименование технического средства реабилитации (изделия), рекомендованного индивидуальной программой реабилитации или абилитации инвалида (заключением об обеспечении ветерана изделиями)" Классификации при соблюдении одновременно следующих условий:</w:t>
      </w:r>
    </w:p>
    <w:bookmarkEnd w:id="51"/>
    <w:p w14:paraId="43426CB7" w14:textId="77777777" w:rsidR="00AB6695" w:rsidRDefault="00AB6695">
      <w:r>
        <w:t xml:space="preserve">итоговая оценка предложения о включении в Классификацию технического средства </w:t>
      </w:r>
      <w:r>
        <w:lastRenderedPageBreak/>
        <w:t>(изделия) составляет менее 14 баллов;</w:t>
      </w:r>
    </w:p>
    <w:p w14:paraId="665172BB" w14:textId="77777777" w:rsidR="00AB6695" w:rsidRDefault="00AB6695">
      <w:r>
        <w:t xml:space="preserve">сумма баллов по всем критериям (за исключением критерия, указанного в </w:t>
      </w:r>
      <w:hyperlink w:anchor="sub_1223" w:history="1">
        <w:r>
          <w:rPr>
            <w:rStyle w:val="a4"/>
            <w:rFonts w:cs="Times New Roman CYR"/>
          </w:rPr>
          <w:t>подпункте 3 пункта 22</w:t>
        </w:r>
      </w:hyperlink>
      <w:r>
        <w:t xml:space="preserve"> настоящего Порядка) составляет не менее 7 баллов;</w:t>
      </w:r>
    </w:p>
    <w:p w14:paraId="5DAB705C" w14:textId="77777777" w:rsidR="00AB6695" w:rsidRDefault="00AB6695">
      <w:r>
        <w:t xml:space="preserve">количество баллов по критерию, указанному в </w:t>
      </w:r>
      <w:hyperlink w:anchor="sub_1223" w:history="1">
        <w:r>
          <w:rPr>
            <w:rStyle w:val="a4"/>
            <w:rFonts w:cs="Times New Roman CYR"/>
          </w:rPr>
          <w:t>подпункте 3 пункта 22</w:t>
        </w:r>
      </w:hyperlink>
      <w:r>
        <w:t xml:space="preserve"> настоящего Порядка, составляет менее 5 баллов;</w:t>
      </w:r>
    </w:p>
    <w:p w14:paraId="15026000" w14:textId="77777777" w:rsidR="00AB6695" w:rsidRDefault="00AB6695">
      <w:r>
        <w:t>исключение в соответствии с настоящим Порядком из Классификации аналога, среднерыночная стоимость которого соответствует или ниже стоимости предлагаемого для включения в Классификацию технического средства (изделия).</w:t>
      </w:r>
    </w:p>
    <w:p w14:paraId="1729AD07" w14:textId="77777777" w:rsidR="00AB6695" w:rsidRDefault="00AB6695">
      <w:bookmarkStart w:id="52" w:name="sub_1027"/>
      <w:r>
        <w:t xml:space="preserve">27. Если итоговая оценка предложения о включении в Классификацию технического средства (изделия) составляет менее 14 баллов и сумма баллов по всем критериям (за исключением критерия, указанного в </w:t>
      </w:r>
      <w:hyperlink w:anchor="sub_1223" w:history="1">
        <w:r>
          <w:rPr>
            <w:rStyle w:val="a4"/>
            <w:rFonts w:cs="Times New Roman CYR"/>
          </w:rPr>
          <w:t>подпункте 3 пункта 22</w:t>
        </w:r>
      </w:hyperlink>
      <w:r>
        <w:t xml:space="preserve"> настоящего Порядка), составляет не менее 7 баллов, Комиссией принимается решение о включении указанного технического средства (изделия) в </w:t>
      </w:r>
      <w:hyperlink r:id="rId24" w:history="1">
        <w:r>
          <w:rPr>
            <w:rStyle w:val="a4"/>
            <w:rFonts w:cs="Times New Roman CYR"/>
          </w:rPr>
          <w:t>графу 4</w:t>
        </w:r>
      </w:hyperlink>
      <w:r>
        <w:t xml:space="preserve"> "Вид и наименование технического средства реабилитации (изделия), самостоятельно приобретенного инвалидом (ветераном) за собственный счет" Классификации для обеспечения возможности выплаты инвалиду компенсации в </w:t>
      </w:r>
      <w:hyperlink r:id="rId25" w:history="1">
        <w:r>
          <w:rPr>
            <w:rStyle w:val="a4"/>
            <w:rFonts w:cs="Times New Roman CYR"/>
          </w:rPr>
          <w:t>порядке</w:t>
        </w:r>
      </w:hyperlink>
      <w:r>
        <w:t xml:space="preserve">, определенном </w:t>
      </w:r>
      <w:hyperlink r:id="rId2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 января 2011 г. N 57н "Об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компенсации" (зарегистрирован Министерством юстиции Российской Федерации 3 февраля 2011 г., регистрационный N 19694), с изменениями, внесенными приказами Министерства здравоохранения и социального развития Российской Федерации </w:t>
      </w:r>
      <w:hyperlink r:id="rId27" w:history="1">
        <w:r>
          <w:rPr>
            <w:rStyle w:val="a4"/>
            <w:rFonts w:cs="Times New Roman CYR"/>
          </w:rPr>
          <w:t>от 8 сентября 2011 г. N 1028н</w:t>
        </w:r>
      </w:hyperlink>
      <w:r>
        <w:t xml:space="preserve"> (зарегистрирован Министерством юстиции Российской Федерации 28 сентября 2011 г., регистрационный N 21912), Министерства труда и социальной защиты Российской Федерации </w:t>
      </w:r>
      <w:hyperlink r:id="rId28" w:history="1">
        <w:r>
          <w:rPr>
            <w:rStyle w:val="a4"/>
            <w:rFonts w:cs="Times New Roman CYR"/>
          </w:rPr>
          <w:t>от 22 января 2014 г. N 24н</w:t>
        </w:r>
      </w:hyperlink>
      <w:r>
        <w:t xml:space="preserve"> (зарегистрирован Министерством юстиции Российской Федерации 27 марта 2014 г., регистрационный N 31748) и </w:t>
      </w:r>
      <w:hyperlink r:id="rId29" w:history="1">
        <w:r>
          <w:rPr>
            <w:rStyle w:val="a4"/>
            <w:rFonts w:cs="Times New Roman CYR"/>
          </w:rPr>
          <w:t>от 24 октября 2014 г. N 771н</w:t>
        </w:r>
      </w:hyperlink>
      <w:r>
        <w:t xml:space="preserve"> (зарегистрирован Министерством юстиции Российской Федерации 2 декабря 2014 г., регистрационный N 35052).</w:t>
      </w:r>
    </w:p>
    <w:p w14:paraId="34DFB4E5" w14:textId="77777777" w:rsidR="00AB6695" w:rsidRDefault="00AB6695">
      <w:bookmarkStart w:id="53" w:name="sub_1028"/>
      <w:bookmarkEnd w:id="52"/>
      <w:r>
        <w:t xml:space="preserve">28. Если итоговая оценка предложения об исключении из </w:t>
      </w:r>
      <w:hyperlink r:id="rId30" w:history="1">
        <w:r>
          <w:rPr>
            <w:rStyle w:val="a4"/>
            <w:rFonts w:cs="Times New Roman CYR"/>
          </w:rPr>
          <w:t>Классификации</w:t>
        </w:r>
      </w:hyperlink>
      <w:r>
        <w:t xml:space="preserve"> технического средства (изделия) составляет не менее 5 баллов, Комиссией принимается решение об исключении из Классификации указанного технического средства (изделия).</w:t>
      </w:r>
    </w:p>
    <w:p w14:paraId="052B7662" w14:textId="77777777" w:rsidR="00AB6695" w:rsidRDefault="00AB6695">
      <w:bookmarkStart w:id="54" w:name="sub_1029"/>
      <w:bookmarkEnd w:id="53"/>
      <w:r>
        <w:t xml:space="preserve">29. Решения Комиссии о включении в </w:t>
      </w:r>
      <w:hyperlink r:id="rId31" w:history="1">
        <w:r>
          <w:rPr>
            <w:rStyle w:val="a4"/>
            <w:rFonts w:cs="Times New Roman CYR"/>
          </w:rPr>
          <w:t>Классификацию</w:t>
        </w:r>
      </w:hyperlink>
      <w:r>
        <w:t xml:space="preserve"> и (или) исключении из Классификации технического средства (изделия) в течение двух рабочих дней после проведения экспертизы предложения оформляются протоколом, который подписывается председательствующим на заседании Комиссии и направляется на подписание членам Комиссии, принимавшими участие в ее заседании.</w:t>
      </w:r>
    </w:p>
    <w:bookmarkEnd w:id="54"/>
    <w:p w14:paraId="6F694220" w14:textId="77777777" w:rsidR="00AB6695" w:rsidRDefault="00AB6695">
      <w:r>
        <w:t>Копия подписанного протокола направляется заявителю.</w:t>
      </w:r>
    </w:p>
    <w:p w14:paraId="341AAC21" w14:textId="77777777" w:rsidR="00AB6695" w:rsidRDefault="00AB6695">
      <w:bookmarkStart w:id="55" w:name="sub_1030"/>
      <w:r>
        <w:t xml:space="preserve">30. Министерством с учетом протокола при принятии решения о включении в </w:t>
      </w:r>
      <w:hyperlink r:id="rId32" w:history="1">
        <w:r>
          <w:rPr>
            <w:rStyle w:val="a4"/>
            <w:rFonts w:cs="Times New Roman CYR"/>
          </w:rPr>
          <w:t>Классификацию</w:t>
        </w:r>
      </w:hyperlink>
      <w:r>
        <w:t xml:space="preserve"> и (или) исключении из Классификации технического средства (изделия) готовится проект приказа, предусматривающий внесение изменений в Классификацию.</w:t>
      </w:r>
    </w:p>
    <w:bookmarkEnd w:id="55"/>
    <w:p w14:paraId="7E4A340B" w14:textId="77777777" w:rsidR="00AB6695" w:rsidRDefault="00AB6695"/>
    <w:sectPr w:rsidR="00AB6695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83374" w14:textId="77777777" w:rsidR="000E1387" w:rsidRDefault="000E1387">
      <w:r>
        <w:separator/>
      </w:r>
    </w:p>
  </w:endnote>
  <w:endnote w:type="continuationSeparator" w:id="0">
    <w:p w14:paraId="60577189" w14:textId="77777777" w:rsidR="000E1387" w:rsidRDefault="000E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AB6695" w14:paraId="6D6852B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E5BA451" w14:textId="67947E30" w:rsidR="00AB6695" w:rsidRDefault="00AB669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D0DD2">
            <w:rPr>
              <w:rFonts w:ascii="Times New Roman" w:hAnsi="Times New Roman" w:cs="Times New Roman"/>
              <w:noProof/>
              <w:sz w:val="20"/>
              <w:szCs w:val="20"/>
            </w:rPr>
            <w:t>05.12.2019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CBB92FE" w14:textId="77777777" w:rsidR="00AB6695" w:rsidRDefault="00AB669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302CC67" w14:textId="77777777" w:rsidR="00AB6695" w:rsidRDefault="00AB669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01E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01E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8E11F" w14:textId="77777777" w:rsidR="000E1387" w:rsidRDefault="000E1387">
      <w:r>
        <w:separator/>
      </w:r>
    </w:p>
  </w:footnote>
  <w:footnote w:type="continuationSeparator" w:id="0">
    <w:p w14:paraId="625C44F9" w14:textId="77777777" w:rsidR="000E1387" w:rsidRDefault="000E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EABAF" w14:textId="77777777" w:rsidR="00AB6695" w:rsidRDefault="00AB669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1 ноября 2018 г. N 686н "Об утверждении Порядка…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EB"/>
    <w:rsid w:val="000E1387"/>
    <w:rsid w:val="009D0DD2"/>
    <w:rsid w:val="00AB6695"/>
    <w:rsid w:val="00C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32554"/>
  <w14:defaultImageDpi w14:val="0"/>
  <w15:docId w15:val="{F43B0D7D-3FD3-4BE6-BAE3-CC68DA43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9775/0" TargetMode="External"/><Relationship Id="rId13" Type="http://schemas.openxmlformats.org/officeDocument/2006/relationships/hyperlink" Target="http://ivo.garant.ru/document/redirect/71897812/1000" TargetMode="External"/><Relationship Id="rId18" Type="http://schemas.openxmlformats.org/officeDocument/2006/relationships/hyperlink" Target="http://ivo.garant.ru/document/redirect/71897812/1000" TargetMode="External"/><Relationship Id="rId26" Type="http://schemas.openxmlformats.org/officeDocument/2006/relationships/hyperlink" Target="http://ivo.garant.ru/document/redirect/12182733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1897812/1000" TargetMode="External"/><Relationship Id="rId34" Type="http://schemas.openxmlformats.org/officeDocument/2006/relationships/footer" Target="footer1.xml"/><Relationship Id="rId7" Type="http://schemas.openxmlformats.org/officeDocument/2006/relationships/hyperlink" Target="http://ivo.garant.ru/document/redirect/12159775/10151" TargetMode="External"/><Relationship Id="rId12" Type="http://schemas.openxmlformats.org/officeDocument/2006/relationships/hyperlink" Target="http://ivo.garant.ru/document/redirect/71897812/1000" TargetMode="External"/><Relationship Id="rId17" Type="http://schemas.openxmlformats.org/officeDocument/2006/relationships/hyperlink" Target="http://ivo.garant.ru/document/redirect/71897812/1000" TargetMode="External"/><Relationship Id="rId25" Type="http://schemas.openxmlformats.org/officeDocument/2006/relationships/hyperlink" Target="http://ivo.garant.ru/document/redirect/12182733/1000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897812/1000" TargetMode="External"/><Relationship Id="rId20" Type="http://schemas.openxmlformats.org/officeDocument/2006/relationships/hyperlink" Target="http://ivo.garant.ru/document/redirect/71897812/1000" TargetMode="External"/><Relationship Id="rId29" Type="http://schemas.openxmlformats.org/officeDocument/2006/relationships/hyperlink" Target="http://ivo.garant.ru/document/redirect/7081621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897812/1000" TargetMode="External"/><Relationship Id="rId24" Type="http://schemas.openxmlformats.org/officeDocument/2006/relationships/hyperlink" Target="http://ivo.garant.ru/document/redirect/71897812/1110" TargetMode="External"/><Relationship Id="rId32" Type="http://schemas.openxmlformats.org/officeDocument/2006/relationships/hyperlink" Target="http://ivo.garant.ru/document/redirect/71897812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1897812/1000" TargetMode="External"/><Relationship Id="rId23" Type="http://schemas.openxmlformats.org/officeDocument/2006/relationships/hyperlink" Target="http://ivo.garant.ru/document/redirect/71897812/1110" TargetMode="External"/><Relationship Id="rId28" Type="http://schemas.openxmlformats.org/officeDocument/2006/relationships/hyperlink" Target="http://ivo.garant.ru/document/redirect/70626018/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vo.garant.ru/document/redirect/71897812/0" TargetMode="External"/><Relationship Id="rId19" Type="http://schemas.openxmlformats.org/officeDocument/2006/relationships/hyperlink" Target="http://ivo.garant.ru/document/redirect/71897812/1000" TargetMode="External"/><Relationship Id="rId31" Type="http://schemas.openxmlformats.org/officeDocument/2006/relationships/hyperlink" Target="http://ivo.garant.ru/document/redirect/71897812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897812/1000" TargetMode="External"/><Relationship Id="rId14" Type="http://schemas.openxmlformats.org/officeDocument/2006/relationships/hyperlink" Target="http://ivo.garant.ru/document/redirect/71897812/1000" TargetMode="External"/><Relationship Id="rId22" Type="http://schemas.openxmlformats.org/officeDocument/2006/relationships/hyperlink" Target="http://ivo.garant.ru/document/redirect/71897812/1110" TargetMode="External"/><Relationship Id="rId27" Type="http://schemas.openxmlformats.org/officeDocument/2006/relationships/hyperlink" Target="http://ivo.garant.ru/document/redirect/12190366/0" TargetMode="External"/><Relationship Id="rId30" Type="http://schemas.openxmlformats.org/officeDocument/2006/relationships/hyperlink" Target="http://ivo.garant.ru/document/redirect/71897812/10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3143</Words>
  <Characters>17920</Characters>
  <Application>Microsoft Office Word</Application>
  <DocSecurity>0</DocSecurity>
  <Lines>149</Lines>
  <Paragraphs>42</Paragraphs>
  <ScaleCrop>false</ScaleCrop>
  <Company>НПП "Гарант-Сервис"</Company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2019-12-05T12:05:00Z</dcterms:created>
  <dcterms:modified xsi:type="dcterms:W3CDTF">2019-12-05T12:05:00Z</dcterms:modified>
</cp:coreProperties>
</file>