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D7" w:rsidRDefault="006D2AD7" w:rsidP="006D2AD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5257800</wp:posOffset>
            </wp:positionV>
            <wp:extent cx="1576705" cy="1600200"/>
            <wp:effectExtent l="19050" t="0" r="4445" b="0"/>
            <wp:wrapNone/>
            <wp:docPr id="2" name="Рисунок 2" descr="po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5247640</wp:posOffset>
            </wp:positionV>
            <wp:extent cx="1943100" cy="1561465"/>
            <wp:effectExtent l="19050" t="0" r="0" b="0"/>
            <wp:wrapNone/>
            <wp:docPr id="3" name="Рисунок 3" descr="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</w:t>
      </w:r>
      <w:r w:rsidRPr="00250545">
        <w:rPr>
          <w:b/>
          <w:sz w:val="28"/>
          <w:szCs w:val="28"/>
        </w:rPr>
        <w:t>ролапс</w:t>
      </w:r>
      <w:r>
        <w:t xml:space="preserve"> (выпадение, выворачивание кишки через </w:t>
      </w:r>
      <w:proofErr w:type="spellStart"/>
      <w:r>
        <w:t>стому</w:t>
      </w:r>
      <w:proofErr w:type="spellEnd"/>
      <w:r>
        <w:t xml:space="preserve">) происходит вследствие физической нагрузки и анатомических особенностей выведенной кишки. Как правило, такие выпадения повторяются, поначалу кишка вправляется самостоятельно в положении пациента лежа. Впоследствии пролапс может затруднить опорожнение кишечника, вывернутая кишка может чаще подвергаться </w:t>
      </w:r>
      <w:proofErr w:type="spellStart"/>
      <w:r>
        <w:t>травмированию</w:t>
      </w:r>
      <w:proofErr w:type="spellEnd"/>
      <w:r>
        <w:t xml:space="preserve">. Возможен некроз (омертвение) кишки из-за резкого перегиба сосудов, питающих кишку. В большинстве случаев избыточный вывернутый участок кишки удаляют оперативным путем. В Вашем случае, после вправления кишки в брюшную </w:t>
      </w:r>
      <w:proofErr w:type="gramStart"/>
      <w:r>
        <w:t>полость</w:t>
      </w:r>
      <w:proofErr w:type="gramEnd"/>
      <w:r>
        <w:t xml:space="preserve"> в положении лежа, в качестве профилактики повторных выпадений, рекомендуется  постоянное ношение эластичного послеоперационного бандажа поверх калоприемника. Для большей эффективности, после вправления кишки и наклеивания калоприемника, на область </w:t>
      </w:r>
      <w:proofErr w:type="spellStart"/>
      <w:r>
        <w:t>стомы</w:t>
      </w:r>
      <w:proofErr w:type="spellEnd"/>
      <w:r>
        <w:t xml:space="preserve"> накладывается </w:t>
      </w:r>
      <w:proofErr w:type="spellStart"/>
      <w:r>
        <w:t>пелот</w:t>
      </w:r>
      <w:proofErr w:type="spellEnd"/>
      <w:r>
        <w:t xml:space="preserve"> (тугой валик из ткани, рулон бинта), по размерам превышающий отверстие </w:t>
      </w:r>
      <w:proofErr w:type="spellStart"/>
      <w:r>
        <w:t>стомы</w:t>
      </w:r>
      <w:proofErr w:type="spellEnd"/>
      <w:r>
        <w:t xml:space="preserve"> на передней брюшной стенке. Эластичный бандаж должен плотно прижимать </w:t>
      </w:r>
      <w:proofErr w:type="spellStart"/>
      <w:r>
        <w:t>пелот</w:t>
      </w:r>
      <w:proofErr w:type="spellEnd"/>
      <w:r>
        <w:t>. Для контроля опорожнения кишечника дренируемый конец мешка калоприемника выводят через щелевидный горизонтальный разрез на бандаже на уровне 1/3 - 1/2 мешка.</w:t>
      </w:r>
    </w:p>
    <w:p w:rsidR="006D2AD7" w:rsidRDefault="00EF3C78" w:rsidP="006D2AD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1275080</wp:posOffset>
            </wp:positionV>
            <wp:extent cx="1447800" cy="1609725"/>
            <wp:effectExtent l="38100" t="19050" r="19050" b="28575"/>
            <wp:wrapSquare wrapText="bothSides"/>
            <wp:docPr id="1" name="Рисунок 1" descr="C:\Documents and Settings\zhilmar\Desktop\IMG_04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0" descr="C:\Documents and Settings\zhilmar\Desktop\IMG_0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59999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AD7">
        <w:tab/>
        <w:t xml:space="preserve">Учитывая месторасположение </w:t>
      </w:r>
      <w:proofErr w:type="spellStart"/>
      <w:r w:rsidR="006D2AD7">
        <w:t>стомы</w:t>
      </w:r>
      <w:proofErr w:type="spellEnd"/>
      <w:r w:rsidR="006D2AD7">
        <w:t xml:space="preserve">, неровности </w:t>
      </w:r>
      <w:proofErr w:type="spellStart"/>
      <w:r w:rsidR="006D2AD7">
        <w:t>перистомальной</w:t>
      </w:r>
      <w:proofErr w:type="spellEnd"/>
      <w:r w:rsidR="006D2AD7">
        <w:t xml:space="preserve"> области и размеры </w:t>
      </w:r>
      <w:proofErr w:type="spellStart"/>
      <w:r w:rsidR="006D2AD7">
        <w:t>стомы</w:t>
      </w:r>
      <w:proofErr w:type="spellEnd"/>
      <w:r w:rsidR="006D2AD7">
        <w:t xml:space="preserve"> возможно использование однокомпонентного калоприемника </w:t>
      </w:r>
      <w:r w:rsidR="005B1935">
        <w:t xml:space="preserve">МС </w:t>
      </w:r>
      <w:r w:rsidR="006D2AD7" w:rsidRPr="005B1935">
        <w:rPr>
          <w:b/>
          <w:color w:val="auto"/>
        </w:rPr>
        <w:t xml:space="preserve">6100 </w:t>
      </w:r>
      <w:r w:rsidR="006D2AD7">
        <w:rPr>
          <w:b/>
          <w:color w:val="FF0000"/>
        </w:rPr>
        <w:t xml:space="preserve"> </w:t>
      </w:r>
      <w:r w:rsidR="006D2AD7">
        <w:t xml:space="preserve">или </w:t>
      </w:r>
      <w:r w:rsidR="006D2AD7">
        <w:rPr>
          <w:lang w:val="en-US"/>
        </w:rPr>
        <w:t>Post</w:t>
      </w:r>
      <w:r w:rsidR="006D2AD7" w:rsidRPr="00E52B61">
        <w:t>-</w:t>
      </w:r>
      <w:r w:rsidR="006D2AD7">
        <w:rPr>
          <w:lang w:val="en-US"/>
        </w:rPr>
        <w:t>op</w:t>
      </w:r>
      <w:r w:rsidR="006D2AD7" w:rsidRPr="00820308">
        <w:t xml:space="preserve"> </w:t>
      </w:r>
      <w:r w:rsidR="005B1935">
        <w:t xml:space="preserve">производства </w:t>
      </w:r>
      <w:proofErr w:type="spellStart"/>
      <w:r w:rsidR="005B1935">
        <w:t>Колопласт</w:t>
      </w:r>
      <w:proofErr w:type="spellEnd"/>
      <w:r w:rsidR="005B1935">
        <w:t xml:space="preserve">, или </w:t>
      </w:r>
      <w:r w:rsidR="005B1935" w:rsidRPr="00EF3C78">
        <w:rPr>
          <w:b/>
          <w:bCs/>
          <w:iCs/>
          <w:kern w:val="36"/>
        </w:rPr>
        <w:t>650803</w:t>
      </w:r>
      <w:r w:rsidR="005B1935" w:rsidRPr="005B1935">
        <w:rPr>
          <w:bCs/>
          <w:iCs/>
          <w:kern w:val="36"/>
        </w:rPr>
        <w:t xml:space="preserve"> </w:t>
      </w:r>
      <w:proofErr w:type="spellStart"/>
      <w:r w:rsidR="005B1935" w:rsidRPr="005B1935">
        <w:rPr>
          <w:bCs/>
          <w:iCs/>
          <w:kern w:val="36"/>
        </w:rPr>
        <w:t>Convatec</w:t>
      </w:r>
      <w:proofErr w:type="spellEnd"/>
      <w:r w:rsidR="005B1935" w:rsidRPr="005B1935">
        <w:rPr>
          <w:bCs/>
          <w:iCs/>
          <w:kern w:val="36"/>
        </w:rPr>
        <w:t xml:space="preserve"> Однокомпонентный </w:t>
      </w:r>
      <w:proofErr w:type="spellStart"/>
      <w:r w:rsidR="005B1935" w:rsidRPr="005B1935">
        <w:rPr>
          <w:bCs/>
          <w:iCs/>
          <w:kern w:val="36"/>
        </w:rPr>
        <w:t>послеоперационный</w:t>
      </w:r>
      <w:proofErr w:type="gramStart"/>
      <w:r w:rsidR="005B1935" w:rsidRPr="005B1935">
        <w:rPr>
          <w:bCs/>
          <w:iCs/>
          <w:kern w:val="36"/>
        </w:rPr>
        <w:t>,и</w:t>
      </w:r>
      <w:proofErr w:type="gramEnd"/>
      <w:r w:rsidR="005B1935" w:rsidRPr="005B1935">
        <w:rPr>
          <w:bCs/>
          <w:iCs/>
          <w:kern w:val="36"/>
        </w:rPr>
        <w:t>леостомный</w:t>
      </w:r>
      <w:proofErr w:type="spellEnd"/>
      <w:r w:rsidR="005B1935">
        <w:rPr>
          <w:b/>
          <w:bCs/>
          <w:i/>
          <w:iCs/>
          <w:kern w:val="36"/>
          <w:sz w:val="33"/>
          <w:szCs w:val="33"/>
        </w:rPr>
        <w:t xml:space="preserve"> </w:t>
      </w:r>
      <w:r w:rsidR="006D2AD7">
        <w:t xml:space="preserve">(см. рис.1), отверстие в пластине вырезается по форме и величине отверстия </w:t>
      </w:r>
      <w:proofErr w:type="spellStart"/>
      <w:r w:rsidR="006D2AD7">
        <w:t>стомы</w:t>
      </w:r>
      <w:proofErr w:type="spellEnd"/>
      <w:r w:rsidR="006D2AD7" w:rsidRPr="00820308">
        <w:t xml:space="preserve"> </w:t>
      </w:r>
      <w:r w:rsidR="006D2AD7">
        <w:t>.</w:t>
      </w:r>
    </w:p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6D2AD7" w:rsidRPr="00B02CF2" w:rsidRDefault="006D2AD7" w:rsidP="006D2AD7"/>
    <w:p w:rsidR="00DC1383" w:rsidRDefault="00DC1383"/>
    <w:p w:rsidR="006D2AD7" w:rsidRDefault="006D2AD7"/>
    <w:p w:rsidR="006D2AD7" w:rsidRDefault="006D2AD7"/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6D2AD7" w:rsidRPr="00627E84" w:rsidRDefault="006D2AD7" w:rsidP="006D2AD7">
      <w:pPr>
        <w:autoSpaceDE w:val="0"/>
        <w:autoSpaceDN w:val="0"/>
        <w:adjustRightInd w:val="0"/>
        <w:spacing w:line="360" w:lineRule="auto"/>
        <w:jc w:val="both"/>
        <w:rPr>
          <w:b/>
          <w:color w:val="0040C2"/>
          <w:sz w:val="28"/>
          <w:szCs w:val="28"/>
        </w:rPr>
      </w:pPr>
      <w:r w:rsidRPr="00627E84">
        <w:rPr>
          <w:b/>
          <w:color w:val="FF0000"/>
          <w:sz w:val="28"/>
          <w:szCs w:val="28"/>
        </w:rPr>
        <w:t>Правила</w:t>
      </w:r>
      <w:r w:rsidRPr="00627E84">
        <w:rPr>
          <w:b/>
          <w:color w:val="0040C2"/>
          <w:sz w:val="28"/>
          <w:szCs w:val="28"/>
        </w:rPr>
        <w:t xml:space="preserve"> </w:t>
      </w:r>
      <w:r w:rsidRPr="00627E84">
        <w:rPr>
          <w:b/>
          <w:color w:val="FF0000"/>
          <w:sz w:val="28"/>
          <w:szCs w:val="28"/>
        </w:rPr>
        <w:t>использования бандажа</w:t>
      </w: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Pr="00156A9E">
        <w:t>Бандаж надевается в п</w:t>
      </w:r>
      <w:r>
        <w:t>оложении лежа.</w:t>
      </w:r>
    </w:p>
    <w:p w:rsidR="006D2AD7" w:rsidRDefault="006D2AD7" w:rsidP="006D2AD7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Pr="00156A9E">
        <w:t>Бандаж н</w:t>
      </w:r>
      <w:r>
        <w:t>адевается поверх калоприемника.</w:t>
      </w:r>
    </w:p>
    <w:p w:rsidR="006D2AD7" w:rsidRPr="00156A9E" w:rsidRDefault="006D2AD7" w:rsidP="006D2AD7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Pr="00156A9E">
        <w:t xml:space="preserve">Вырезание отверстий </w:t>
      </w:r>
      <w:r>
        <w:t xml:space="preserve">в бандаже в проекции </w:t>
      </w:r>
      <w:proofErr w:type="spellStart"/>
      <w:r>
        <w:t>стомы</w:t>
      </w:r>
      <w:proofErr w:type="spellEnd"/>
      <w:r>
        <w:t xml:space="preserve"> </w:t>
      </w:r>
      <w:r w:rsidRPr="00156A9E">
        <w:t>абсолютно недопустимо.</w:t>
      </w:r>
    </w:p>
    <w:p w:rsidR="006D2AD7" w:rsidRDefault="006D2AD7" w:rsidP="006D2AD7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13970</wp:posOffset>
            </wp:positionV>
            <wp:extent cx="4114800" cy="165290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рисунке изображены готовые бандажи, но и на обычном эластичном послеоперационном бандаже можно сделать аналогичное щелевидное отверстие для мешка </w:t>
      </w:r>
      <w:r w:rsidRPr="00E56A5F">
        <w:t>на уровне нижнего края пластины калоприемника, или на 3-</w:t>
      </w:r>
      <w:smartTag w:uri="urn:schemas-microsoft-com:office:smarttags" w:element="metricconverter">
        <w:smartTagPr>
          <w:attr w:name="ProductID" w:val="4 см"/>
        </w:smartTagPr>
        <w:r w:rsidRPr="00E56A5F">
          <w:t>4 см</w:t>
        </w:r>
      </w:smartTag>
      <w:r w:rsidRPr="00E56A5F">
        <w:t xml:space="preserve"> ниже</w:t>
      </w:r>
      <w:proofErr w:type="gramStart"/>
      <w:r w:rsidRPr="00E56A5F">
        <w:t xml:space="preserve"> ,</w:t>
      </w:r>
      <w:proofErr w:type="gramEnd"/>
      <w:r w:rsidRPr="00E56A5F">
        <w:t>так, чтобы через него можно было вытащить  мешок на 1/3-1/2 его длины.</w:t>
      </w:r>
    </w:p>
    <w:p w:rsidR="006D2AD7" w:rsidRDefault="006D2AD7" w:rsidP="006D2AD7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47625</wp:posOffset>
            </wp:positionV>
            <wp:extent cx="3486150" cy="2200275"/>
            <wp:effectExtent l="19050" t="0" r="0" b="0"/>
            <wp:wrapSquare wrapText="bothSides"/>
            <wp:docPr id="5" name="Рисунок 5" descr="DSC_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21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AD7" w:rsidRDefault="006D2AD7"/>
    <w:sectPr w:rsidR="006D2AD7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AD7"/>
    <w:rsid w:val="000E2E55"/>
    <w:rsid w:val="0051457B"/>
    <w:rsid w:val="005B1935"/>
    <w:rsid w:val="006D2AD7"/>
    <w:rsid w:val="007C1E00"/>
    <w:rsid w:val="00944BC0"/>
    <w:rsid w:val="00DC1383"/>
    <w:rsid w:val="00EF3C78"/>
    <w:rsid w:val="00F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D7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944BC0"/>
    <w:pPr>
      <w:keepNext/>
      <w:suppressAutoHyphens/>
      <w:outlineLvl w:val="1"/>
    </w:pPr>
    <w:rPr>
      <w:b/>
      <w:color w:val="auto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44BC0"/>
    <w:pPr>
      <w:keepNext/>
      <w:suppressAutoHyphens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1457B"/>
    <w:rPr>
      <w:i/>
      <w:iCs/>
    </w:rPr>
  </w:style>
  <w:style w:type="character" w:customStyle="1" w:styleId="20">
    <w:name w:val="Заголовок 2 Знак"/>
    <w:basedOn w:val="a0"/>
    <w:link w:val="2"/>
    <w:rsid w:val="00944BC0"/>
    <w:rPr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944BC0"/>
    <w:rPr>
      <w:b/>
      <w:color w:val="000000"/>
      <w:sz w:val="24"/>
      <w:lang w:eastAsia="ar-SA"/>
    </w:rPr>
  </w:style>
  <w:style w:type="paragraph" w:styleId="a4">
    <w:name w:val="Title"/>
    <w:basedOn w:val="a"/>
    <w:next w:val="a"/>
    <w:link w:val="a5"/>
    <w:qFormat/>
    <w:rsid w:val="00944BC0"/>
    <w:pPr>
      <w:suppressAutoHyphens/>
      <w:jc w:val="center"/>
    </w:pPr>
    <w:rPr>
      <w:b/>
      <w:bCs/>
      <w:color w:val="auto"/>
      <w:sz w:val="28"/>
      <w:lang w:eastAsia="ar-SA"/>
    </w:rPr>
  </w:style>
  <w:style w:type="character" w:customStyle="1" w:styleId="a5">
    <w:name w:val="Название Знак"/>
    <w:basedOn w:val="a0"/>
    <w:link w:val="a4"/>
    <w:rsid w:val="00944BC0"/>
    <w:rPr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7"/>
    <w:qFormat/>
    <w:rsid w:val="00944BC0"/>
    <w:pPr>
      <w:keepNext/>
      <w:suppressAutoHyphens/>
      <w:spacing w:before="240" w:after="120"/>
      <w:jc w:val="center"/>
    </w:pPr>
    <w:rPr>
      <w:rFonts w:ascii="Arial" w:eastAsia="Arial Unicode MS" w:hAnsi="Arial" w:cs="Mangal"/>
      <w:i/>
      <w:iCs/>
      <w:color w:val="auto"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6"/>
    <w:rsid w:val="00944BC0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uppressAutoHyphens/>
      <w:spacing w:after="120"/>
    </w:pPr>
    <w:rPr>
      <w:color w:val="auto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2012-04-25T18:47:00Z</dcterms:created>
  <dcterms:modified xsi:type="dcterms:W3CDTF">2013-07-18T18:05:00Z</dcterms:modified>
</cp:coreProperties>
</file>